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培训通知</w:t>
      </w:r>
    </w:p>
    <w:p>
      <w:pPr>
        <w:spacing w:line="600" w:lineRule="exact"/>
        <w:jc w:val="center"/>
        <w:rPr>
          <w:rFonts w:ascii="方正小标宋简体" w:hAnsi="方正小标宋简体" w:eastAsia="方正小标宋简体" w:cs="方正小标宋简体"/>
          <w:b/>
          <w:sz w:val="44"/>
          <w:szCs w:val="44"/>
        </w:rPr>
      </w:pPr>
    </w:p>
    <w:p>
      <w:pPr>
        <w:spacing w:line="60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局各相关派出机构、各相关企业：</w:t>
      </w:r>
    </w:p>
    <w:p>
      <w:pPr>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上海市市场监督管理局关于开展电器产品和食品相关产品2类重点工业产品生产企业质量安全保证能力评估工作的通知》的要求，将召开浦东新区非发证食品相关产品生产企业质量安全保证能力评估工作培训，在此基础上将对此类企业进行质量安全保证工作能力评估工作。同时，我局还将委托市质检院开展食品相关产品生产许可证证后监管培训。有关事项通知如下：</w:t>
      </w:r>
    </w:p>
    <w:p>
      <w:pPr>
        <w:spacing w:line="600" w:lineRule="exact"/>
        <w:ind w:firstLine="643" w:firstLineChars="200"/>
        <w:rPr>
          <w:rFonts w:ascii="黑体" w:hAnsi="黑体" w:eastAsia="黑体" w:cs="仿宋_GB2312"/>
          <w:b/>
          <w:sz w:val="32"/>
          <w:szCs w:val="32"/>
        </w:rPr>
      </w:pPr>
      <w:r>
        <w:rPr>
          <w:rFonts w:hint="eastAsia" w:ascii="黑体" w:hAnsi="黑体" w:eastAsia="黑体" w:cs="仿宋_GB2312"/>
          <w:b/>
          <w:sz w:val="32"/>
          <w:szCs w:val="32"/>
        </w:rPr>
        <w:t>一、培训时间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2020年8月12日(周三)下午1:00—4:00</w:t>
      </w:r>
    </w:p>
    <w:p>
      <w:pPr>
        <w:spacing w:line="600" w:lineRule="exact"/>
        <w:ind w:firstLine="643" w:firstLineChars="200"/>
        <w:rPr>
          <w:rFonts w:ascii="黑体" w:hAnsi="黑体" w:eastAsia="黑体" w:cs="仿宋_GB2312"/>
          <w:b/>
          <w:sz w:val="32"/>
          <w:szCs w:val="32"/>
        </w:rPr>
      </w:pPr>
      <w:r>
        <w:rPr>
          <w:rFonts w:hint="eastAsia" w:ascii="黑体" w:hAnsi="黑体" w:eastAsia="黑体" w:cs="仿宋_GB2312"/>
          <w:b/>
          <w:sz w:val="32"/>
          <w:szCs w:val="32"/>
        </w:rPr>
        <w:t>二、培训地点</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闵行区浦江镇江月路900号，上海市质量监督检验技术研究院1号楼216会议室。</w:t>
      </w:r>
    </w:p>
    <w:p>
      <w:pPr>
        <w:spacing w:line="600" w:lineRule="exact"/>
        <w:ind w:left="643"/>
        <w:rPr>
          <w:rFonts w:ascii="黑体" w:hAnsi="黑体" w:eastAsia="黑体" w:cs="仿宋_GB2312"/>
          <w:b/>
          <w:sz w:val="32"/>
          <w:szCs w:val="32"/>
        </w:rPr>
      </w:pPr>
      <w:r>
        <w:rPr>
          <w:rFonts w:hint="eastAsia" w:ascii="黑体" w:hAnsi="黑体" w:eastAsia="黑体" w:cs="仿宋_GB2312"/>
          <w:b/>
          <w:sz w:val="32"/>
          <w:szCs w:val="32"/>
        </w:rPr>
        <w:t>三、参加人员</w:t>
      </w:r>
    </w:p>
    <w:p>
      <w:pPr>
        <w:spacing w:line="50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1.</w:t>
      </w:r>
      <w:r>
        <w:rPr>
          <w:rFonts w:hint="eastAsia" w:ascii="仿宋_GB2312" w:hAnsi="仿宋_GB2312" w:eastAsia="仿宋_GB2312" w:cs="仿宋_GB2312"/>
          <w:sz w:val="32"/>
          <w:szCs w:val="32"/>
        </w:rPr>
        <w:t>浦东新区非发证食品相关产品企业生产、质量负责人1-2名（企业名单见附件1）；</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2.市质检院质量安全评估工作负责人；</w:t>
      </w:r>
    </w:p>
    <w:p>
      <w:pPr>
        <w:spacing w:line="500" w:lineRule="exact"/>
        <w:ind w:firstLine="640" w:firstLineChars="200"/>
        <w:rPr>
          <w:rFonts w:asci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eastAsia="仿宋_GB2312" w:cs="仿宋_GB2312"/>
          <w:sz w:val="32"/>
          <w:szCs w:val="32"/>
        </w:rPr>
        <w:t>.浦东市场监管局质量处食品相关产品监管工作负责人；</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4.局各相关派出机构监管人员（原则上每个单位报1人）。</w:t>
      </w:r>
    </w:p>
    <w:p>
      <w:pPr>
        <w:spacing w:line="600" w:lineRule="exact"/>
        <w:ind w:firstLine="643" w:firstLineChars="200"/>
        <w:rPr>
          <w:rFonts w:ascii="黑体" w:hAnsi="黑体" w:eastAsia="黑体" w:cs="仿宋_GB2312"/>
          <w:b/>
          <w:sz w:val="32"/>
          <w:szCs w:val="32"/>
        </w:rPr>
      </w:pPr>
      <w:r>
        <w:rPr>
          <w:rFonts w:hint="eastAsia" w:ascii="黑体" w:hAnsi="黑体" w:eastAsia="黑体" w:cs="仿宋_GB2312"/>
          <w:b/>
          <w:sz w:val="32"/>
          <w:szCs w:val="32"/>
        </w:rPr>
        <w:t>三、培训议程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1.解读非发证食品相关产品生产企业质量安全保证能力评估工作的具体要求，并对企业评估时间现场确认；（约1小时，结束后企业离场）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2.食品相关产品生产许可证证后监管工作简要介绍；（仅监管人员参加，约1小时）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3.观摩市质检院食品相关产品检测现场，学习食品相关产品质量知识。（仅监管人员参加，约1小时）</w:t>
      </w:r>
    </w:p>
    <w:p>
      <w:pPr>
        <w:spacing w:line="600" w:lineRule="exact"/>
        <w:ind w:firstLine="630"/>
        <w:rPr>
          <w:rFonts w:ascii="黑体" w:hAnsi="黑体" w:eastAsia="黑体"/>
          <w:b/>
          <w:sz w:val="32"/>
          <w:szCs w:val="32"/>
        </w:rPr>
      </w:pPr>
      <w:r>
        <w:rPr>
          <w:rFonts w:hint="eastAsia" w:ascii="黑体" w:hAnsi="黑体" w:eastAsia="黑体"/>
          <w:b/>
          <w:sz w:val="32"/>
          <w:szCs w:val="32"/>
        </w:rPr>
        <w:t>四、相关要求</w:t>
      </w:r>
    </w:p>
    <w:p>
      <w:pPr>
        <w:spacing w:line="600" w:lineRule="exact"/>
        <w:ind w:firstLine="640" w:firstLineChars="200"/>
        <w:rPr>
          <w:rFonts w:ascii="黑体" w:hAnsi="黑体" w:eastAsia="黑体"/>
          <w:b/>
          <w:sz w:val="32"/>
          <w:szCs w:val="32"/>
        </w:rPr>
      </w:pPr>
      <w:r>
        <w:rPr>
          <w:rFonts w:hint="eastAsia" w:ascii="仿宋_GB2312" w:hAnsi="仿宋_GB2312" w:eastAsia="仿宋_GB2312" w:cs="仿宋_GB2312"/>
          <w:sz w:val="32"/>
          <w:szCs w:val="32"/>
        </w:rPr>
        <w:t>1.如各辖区监管人员在日常监管中发现有不在附件1名单内的非发证食品相关产品在产企业，也请通知其参加。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请各派出机构通知下发的名单中的非发证食品相关产品生产企业（另行发放至共派出机构公共邮箱）及各派出机构掌握的名单外的非发证食品相关产品生产企业准时参加培训，并于8月10日（周一）下班前将企业参会人员名单（格式见附件1）及各派出机构参会人员名单（格式见附件2）</w:t>
      </w:r>
      <w:r>
        <w:rPr>
          <w:rFonts w:hint="eastAsia" w:ascii="仿宋_GB2312" w:hAnsi="仿宋_GB2312" w:eastAsia="仿宋_GB2312" w:cs="仿宋_GB2312"/>
          <w:b/>
          <w:sz w:val="32"/>
          <w:szCs w:val="32"/>
        </w:rPr>
        <w:t>报送至局质量处公共邮箱</w:t>
      </w:r>
      <w:r>
        <w:rPr>
          <w:rFonts w:hint="eastAsia" w:ascii="仿宋_GB2312" w:hAnsi="仿宋_GB2312" w:eastAsia="仿宋_GB2312" w:cs="仿宋_GB2312"/>
          <w:sz w:val="32"/>
          <w:szCs w:val="32"/>
        </w:rPr>
        <w:t>。</w:t>
      </w:r>
    </w:p>
    <w:p>
      <w:pPr>
        <w:spacing w:line="600" w:lineRule="exact"/>
        <w:ind w:firstLine="566" w:firstLineChars="177"/>
        <w:rPr>
          <w:rFonts w:ascii="仿宋_GB2312" w:eastAsia="仿宋_GB2312"/>
          <w:sz w:val="32"/>
          <w:szCs w:val="32"/>
        </w:rPr>
      </w:pPr>
      <w:r>
        <w:rPr>
          <w:rFonts w:hint="eastAsia" w:ascii="仿宋_GB2312" w:eastAsia="仿宋_GB2312"/>
          <w:sz w:val="32"/>
          <w:szCs w:val="32"/>
        </w:rPr>
        <w:t>联系人：</w:t>
      </w:r>
    </w:p>
    <w:p>
      <w:pPr>
        <w:spacing w:line="600" w:lineRule="exact"/>
        <w:ind w:firstLine="566" w:firstLineChars="177"/>
        <w:rPr>
          <w:rFonts w:ascii="仿宋_GB2312" w:eastAsia="仿宋_GB2312"/>
          <w:sz w:val="32"/>
          <w:szCs w:val="32"/>
        </w:rPr>
      </w:pPr>
      <w:r>
        <w:rPr>
          <w:rFonts w:hint="eastAsia" w:ascii="仿宋_GB2312" w:eastAsia="仿宋_GB2312"/>
          <w:sz w:val="32"/>
          <w:szCs w:val="32"/>
        </w:rPr>
        <w:t>1.浦东市场监管局质量处 林立政（电话：18116003427）</w:t>
      </w:r>
    </w:p>
    <w:p>
      <w:pPr>
        <w:spacing w:line="600" w:lineRule="exact"/>
        <w:ind w:firstLine="566" w:firstLineChars="177"/>
        <w:rPr>
          <w:rFonts w:ascii="仿宋_GB2312" w:eastAsia="仿宋_GB2312"/>
          <w:sz w:val="32"/>
          <w:szCs w:val="32"/>
        </w:rPr>
      </w:pPr>
      <w:r>
        <w:rPr>
          <w:rFonts w:hint="eastAsia" w:ascii="仿宋_GB2312" w:eastAsia="仿宋_GB2312"/>
          <w:sz w:val="32"/>
          <w:szCs w:val="32"/>
        </w:rPr>
        <w:t>2.市质检院轻化所食品相关产品室 刘峻（电话：13818732983）</w:t>
      </w:r>
    </w:p>
    <w:p>
      <w:pPr>
        <w:spacing w:line="600" w:lineRule="exact"/>
        <w:ind w:left="1840" w:leftChars="305" w:hanging="1200" w:hangingChars="375"/>
        <w:jc w:val="left"/>
        <w:rPr>
          <w:rFonts w:ascii="仿宋_GB2312" w:hAnsi="宋体" w:eastAsia="仿宋_GB2312"/>
          <w:sz w:val="32"/>
          <w:szCs w:val="30"/>
        </w:rPr>
      </w:pPr>
    </w:p>
    <w:p>
      <w:pPr>
        <w:spacing w:line="600" w:lineRule="exact"/>
        <w:ind w:left="1840" w:leftChars="305" w:hanging="1200" w:hangingChars="375"/>
        <w:jc w:val="left"/>
        <w:rPr>
          <w:rFonts w:ascii="仿宋_GB2312" w:hAnsi="宋体" w:eastAsia="仿宋_GB2312"/>
          <w:sz w:val="32"/>
          <w:szCs w:val="30"/>
        </w:rPr>
      </w:pPr>
      <w:r>
        <w:rPr>
          <w:rFonts w:hint="eastAsia" w:ascii="仿宋_GB2312" w:hAnsi="宋体" w:eastAsia="仿宋_GB2312"/>
          <w:sz w:val="32"/>
          <w:szCs w:val="30"/>
        </w:rPr>
        <w:t>附件：</w:t>
      </w:r>
    </w:p>
    <w:p>
      <w:pPr>
        <w:spacing w:line="600" w:lineRule="exact"/>
        <w:ind w:left="992" w:leftChars="305" w:hanging="352" w:hangingChars="110"/>
        <w:jc w:val="left"/>
        <w:rPr>
          <w:rFonts w:ascii="仿宋_GB2312" w:hAnsi="宋体" w:eastAsia="仿宋_GB2312"/>
          <w:sz w:val="32"/>
          <w:szCs w:val="30"/>
        </w:rPr>
      </w:pPr>
      <w:r>
        <w:rPr>
          <w:rFonts w:hint="eastAsia" w:ascii="仿宋_GB2312" w:hAnsi="宋体" w:eastAsia="仿宋_GB2312"/>
          <w:sz w:val="32"/>
          <w:szCs w:val="30"/>
        </w:rPr>
        <w:t>1.2020年浦东新区非发证食品相关产品安全评估企业名单</w:t>
      </w:r>
    </w:p>
    <w:p>
      <w:pPr>
        <w:spacing w:line="600" w:lineRule="exact"/>
        <w:ind w:firstLine="640" w:firstLineChars="200"/>
        <w:jc w:val="left"/>
        <w:rPr>
          <w:rFonts w:ascii="仿宋_GB2312" w:hAnsi="宋体" w:eastAsia="仿宋_GB2312"/>
          <w:sz w:val="32"/>
          <w:szCs w:val="30"/>
        </w:rPr>
      </w:pPr>
      <w:r>
        <w:rPr>
          <w:rFonts w:hint="eastAsia" w:ascii="仿宋_GB2312" w:hAnsi="宋体" w:eastAsia="仿宋_GB2312"/>
          <w:sz w:val="32"/>
          <w:szCs w:val="30"/>
        </w:rPr>
        <w:t>2.非发证食品相关产品生产企业参会人员名单</w:t>
      </w:r>
    </w:p>
    <w:p>
      <w:pPr>
        <w:spacing w:line="600" w:lineRule="exact"/>
        <w:ind w:firstLine="640" w:firstLineChars="200"/>
        <w:jc w:val="left"/>
        <w:rPr>
          <w:rFonts w:ascii="仿宋_GB2312" w:hAnsi="宋体" w:eastAsia="仿宋_GB2312"/>
          <w:sz w:val="32"/>
          <w:szCs w:val="30"/>
        </w:rPr>
      </w:pPr>
      <w:r>
        <w:rPr>
          <w:rFonts w:hint="eastAsia" w:ascii="仿宋_GB2312" w:hAnsi="宋体" w:eastAsia="仿宋_GB2312"/>
          <w:sz w:val="32"/>
          <w:szCs w:val="30"/>
        </w:rPr>
        <w:t>3.局各派出机构参会人员名单</w:t>
      </w:r>
    </w:p>
    <w:p>
      <w:pPr>
        <w:spacing w:line="600" w:lineRule="exact"/>
        <w:ind w:firstLine="640" w:firstLineChars="200"/>
        <w:jc w:val="left"/>
        <w:rPr>
          <w:rFonts w:ascii="仿宋_GB2312" w:hAnsi="宋体" w:eastAsia="仿宋_GB2312"/>
          <w:sz w:val="32"/>
          <w:szCs w:val="30"/>
        </w:rPr>
      </w:pPr>
    </w:p>
    <w:p>
      <w:pPr>
        <w:adjustRightInd w:val="0"/>
        <w:snapToGrid w:val="0"/>
        <w:spacing w:beforeLines="100"/>
        <w:jc w:val="center"/>
        <w:rPr>
          <w:rFonts w:ascii="仿宋_GB2312" w:eastAsia="仿宋_GB2312"/>
          <w:sz w:val="32"/>
          <w:szCs w:val="32"/>
        </w:rPr>
      </w:pPr>
      <w:r>
        <w:rPr>
          <w:rFonts w:hint="eastAsia" w:ascii="仿宋_GB2312" w:eastAsia="仿宋_GB2312"/>
          <w:sz w:val="32"/>
          <w:szCs w:val="32"/>
        </w:rPr>
        <w:t xml:space="preserve">                            </w:t>
      </w:r>
      <w:r>
        <w:rPr>
          <w:rFonts w:hint="eastAsia" w:ascii="仿宋" w:hAnsi="仿宋" w:eastAsia="仿宋"/>
          <w:color w:val="333333"/>
          <w:sz w:val="32"/>
          <w:szCs w:val="32"/>
        </w:rPr>
        <w:t>浦东新区市场监督管理局</w:t>
      </w:r>
    </w:p>
    <w:p>
      <w:pPr>
        <w:spacing w:line="600" w:lineRule="exact"/>
        <w:ind w:firstLine="5811" w:firstLineChars="1816"/>
        <w:rPr>
          <w:rFonts w:ascii="仿宋_GB2312" w:eastAsia="仿宋_GB2312"/>
          <w:sz w:val="32"/>
          <w:szCs w:val="32"/>
        </w:rPr>
        <w:sectPr>
          <w:footerReference r:id="rId3" w:type="default"/>
          <w:pgSz w:w="11906" w:h="16838"/>
          <w:pgMar w:top="1417" w:right="1417" w:bottom="1417" w:left="1417" w:header="851" w:footer="992" w:gutter="0"/>
          <w:cols w:space="720" w:num="1"/>
          <w:docGrid w:type="lines" w:linePitch="312" w:charSpace="0"/>
        </w:sectPr>
      </w:pPr>
      <w:r>
        <w:rPr>
          <w:rFonts w:hint="eastAsia" w:ascii="仿宋_GB2312" w:eastAsia="仿宋_GB2312"/>
          <w:sz w:val="32"/>
          <w:szCs w:val="32"/>
        </w:rPr>
        <w:t>2020年8月6日</w:t>
      </w:r>
    </w:p>
    <w:p>
      <w:pPr>
        <w:spacing w:line="600" w:lineRule="exact"/>
        <w:jc w:val="left"/>
        <w:rPr>
          <w:rFonts w:ascii="黑体" w:hAnsi="黑体" w:eastAsia="黑体" w:cs="黑体"/>
          <w:sz w:val="32"/>
          <w:szCs w:val="32"/>
        </w:rPr>
      </w:pPr>
      <w:r>
        <w:rPr>
          <w:rFonts w:hint="eastAsia" w:ascii="黑体" w:hAnsi="黑体" w:eastAsia="黑体" w:cs="黑体"/>
          <w:sz w:val="32"/>
          <w:szCs w:val="32"/>
        </w:rPr>
        <w:t>附件1</w:t>
      </w:r>
      <w:bookmarkStart w:id="0" w:name="_GoBack"/>
      <w:bookmarkEnd w:id="0"/>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浦东新区非发证食品相关产品生产企业参会人员名单</w:t>
      </w:r>
    </w:p>
    <w:tbl>
      <w:tblPr>
        <w:tblStyle w:val="4"/>
        <w:tblpPr w:leftFromText="180" w:rightFromText="180" w:vertAnchor="text" w:horzAnchor="page" w:tblpX="1386" w:tblpY="5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251"/>
        <w:gridCol w:w="1875"/>
        <w:gridCol w:w="2362"/>
        <w:gridCol w:w="2362"/>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4251" w:type="dxa"/>
            <w:shd w:val="clear" w:color="auto" w:fill="auto"/>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企业名称</w:t>
            </w:r>
          </w:p>
        </w:tc>
        <w:tc>
          <w:tcPr>
            <w:tcW w:w="1875" w:type="dxa"/>
            <w:shd w:val="clear" w:color="auto" w:fill="auto"/>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所属街镇</w:t>
            </w:r>
          </w:p>
        </w:tc>
        <w:tc>
          <w:tcPr>
            <w:tcW w:w="2362" w:type="dxa"/>
            <w:shd w:val="clear" w:color="auto" w:fill="auto"/>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参会人员姓名</w:t>
            </w:r>
          </w:p>
        </w:tc>
        <w:tc>
          <w:tcPr>
            <w:tcW w:w="2362" w:type="dxa"/>
            <w:shd w:val="clear" w:color="auto" w:fill="auto"/>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职务</w:t>
            </w:r>
          </w:p>
        </w:tc>
        <w:tc>
          <w:tcPr>
            <w:tcW w:w="2362" w:type="dxa"/>
            <w:shd w:val="clear" w:color="auto" w:fill="auto"/>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spacing w:line="600" w:lineRule="exact"/>
              <w:jc w:val="center"/>
              <w:rPr>
                <w:rFonts w:ascii="仿宋_GB2312" w:hAnsi="仿宋_GB2312" w:eastAsia="仿宋_GB2312" w:cs="仿宋_GB2312"/>
                <w:sz w:val="32"/>
                <w:szCs w:val="32"/>
              </w:rPr>
            </w:pPr>
          </w:p>
        </w:tc>
        <w:tc>
          <w:tcPr>
            <w:tcW w:w="4251" w:type="dxa"/>
            <w:shd w:val="clear" w:color="auto" w:fill="auto"/>
          </w:tcPr>
          <w:p>
            <w:pPr>
              <w:spacing w:line="600" w:lineRule="exact"/>
              <w:jc w:val="center"/>
              <w:rPr>
                <w:rFonts w:ascii="仿宋_GB2312" w:hAnsi="仿宋_GB2312" w:eastAsia="仿宋_GB2312" w:cs="仿宋_GB2312"/>
                <w:sz w:val="32"/>
                <w:szCs w:val="32"/>
              </w:rPr>
            </w:pPr>
          </w:p>
        </w:tc>
        <w:tc>
          <w:tcPr>
            <w:tcW w:w="1875" w:type="dxa"/>
            <w:shd w:val="clear" w:color="auto" w:fill="auto"/>
          </w:tcPr>
          <w:p>
            <w:pPr>
              <w:spacing w:line="600" w:lineRule="exact"/>
              <w:jc w:val="center"/>
              <w:rPr>
                <w:rFonts w:ascii="仿宋_GB2312" w:hAnsi="仿宋_GB2312" w:eastAsia="仿宋_GB2312" w:cs="仿宋_GB2312"/>
                <w:sz w:val="32"/>
                <w:szCs w:val="32"/>
              </w:rPr>
            </w:pPr>
          </w:p>
        </w:tc>
        <w:tc>
          <w:tcPr>
            <w:tcW w:w="2362" w:type="dxa"/>
            <w:shd w:val="clear" w:color="auto" w:fill="auto"/>
          </w:tcPr>
          <w:p>
            <w:pPr>
              <w:spacing w:line="600" w:lineRule="exact"/>
              <w:jc w:val="center"/>
              <w:rPr>
                <w:rFonts w:ascii="仿宋_GB2312" w:hAnsi="仿宋_GB2312" w:eastAsia="仿宋_GB2312" w:cs="仿宋_GB2312"/>
                <w:sz w:val="32"/>
                <w:szCs w:val="32"/>
              </w:rPr>
            </w:pPr>
          </w:p>
        </w:tc>
        <w:tc>
          <w:tcPr>
            <w:tcW w:w="2362" w:type="dxa"/>
            <w:shd w:val="clear" w:color="auto" w:fill="auto"/>
          </w:tcPr>
          <w:p>
            <w:pPr>
              <w:spacing w:line="600" w:lineRule="exact"/>
              <w:jc w:val="center"/>
              <w:rPr>
                <w:rFonts w:ascii="仿宋_GB2312" w:hAnsi="仿宋_GB2312" w:eastAsia="仿宋_GB2312" w:cs="仿宋_GB2312"/>
                <w:sz w:val="32"/>
                <w:szCs w:val="32"/>
              </w:rPr>
            </w:pPr>
          </w:p>
        </w:tc>
        <w:tc>
          <w:tcPr>
            <w:tcW w:w="2362" w:type="dxa"/>
            <w:shd w:val="clear" w:color="auto" w:fill="auto"/>
          </w:tcPr>
          <w:p>
            <w:pPr>
              <w:spacing w:line="6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spacing w:line="600" w:lineRule="exact"/>
              <w:jc w:val="center"/>
              <w:rPr>
                <w:rFonts w:ascii="仿宋_GB2312" w:hAnsi="仿宋_GB2312" w:eastAsia="仿宋_GB2312" w:cs="仿宋_GB2312"/>
                <w:sz w:val="32"/>
                <w:szCs w:val="32"/>
              </w:rPr>
            </w:pPr>
          </w:p>
        </w:tc>
        <w:tc>
          <w:tcPr>
            <w:tcW w:w="4251" w:type="dxa"/>
            <w:shd w:val="clear" w:color="auto" w:fill="auto"/>
          </w:tcPr>
          <w:p>
            <w:pPr>
              <w:spacing w:line="600" w:lineRule="exact"/>
              <w:jc w:val="center"/>
              <w:rPr>
                <w:rFonts w:ascii="仿宋_GB2312" w:hAnsi="仿宋_GB2312" w:eastAsia="仿宋_GB2312" w:cs="仿宋_GB2312"/>
                <w:sz w:val="32"/>
                <w:szCs w:val="32"/>
              </w:rPr>
            </w:pPr>
          </w:p>
        </w:tc>
        <w:tc>
          <w:tcPr>
            <w:tcW w:w="1875" w:type="dxa"/>
            <w:shd w:val="clear" w:color="auto" w:fill="auto"/>
          </w:tcPr>
          <w:p>
            <w:pPr>
              <w:spacing w:line="600" w:lineRule="exact"/>
              <w:jc w:val="center"/>
              <w:rPr>
                <w:rFonts w:ascii="仿宋_GB2312" w:hAnsi="仿宋_GB2312" w:eastAsia="仿宋_GB2312" w:cs="仿宋_GB2312"/>
                <w:sz w:val="32"/>
                <w:szCs w:val="32"/>
              </w:rPr>
            </w:pPr>
          </w:p>
        </w:tc>
        <w:tc>
          <w:tcPr>
            <w:tcW w:w="2362" w:type="dxa"/>
            <w:shd w:val="clear" w:color="auto" w:fill="auto"/>
          </w:tcPr>
          <w:p>
            <w:pPr>
              <w:spacing w:line="600" w:lineRule="exact"/>
              <w:jc w:val="center"/>
              <w:rPr>
                <w:rFonts w:ascii="仿宋_GB2312" w:hAnsi="仿宋_GB2312" w:eastAsia="仿宋_GB2312" w:cs="仿宋_GB2312"/>
                <w:sz w:val="32"/>
                <w:szCs w:val="32"/>
              </w:rPr>
            </w:pPr>
          </w:p>
        </w:tc>
        <w:tc>
          <w:tcPr>
            <w:tcW w:w="2362" w:type="dxa"/>
            <w:shd w:val="clear" w:color="auto" w:fill="auto"/>
          </w:tcPr>
          <w:p>
            <w:pPr>
              <w:spacing w:line="600" w:lineRule="exact"/>
              <w:jc w:val="center"/>
              <w:rPr>
                <w:rFonts w:ascii="仿宋_GB2312" w:hAnsi="仿宋_GB2312" w:eastAsia="仿宋_GB2312" w:cs="仿宋_GB2312"/>
                <w:sz w:val="32"/>
                <w:szCs w:val="32"/>
              </w:rPr>
            </w:pPr>
          </w:p>
        </w:tc>
        <w:tc>
          <w:tcPr>
            <w:tcW w:w="2362" w:type="dxa"/>
            <w:shd w:val="clear" w:color="auto" w:fill="auto"/>
          </w:tcPr>
          <w:p>
            <w:pPr>
              <w:spacing w:line="6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spacing w:line="600" w:lineRule="exact"/>
              <w:jc w:val="center"/>
              <w:rPr>
                <w:rFonts w:ascii="仿宋_GB2312" w:hAnsi="仿宋_GB2312" w:eastAsia="仿宋_GB2312" w:cs="仿宋_GB2312"/>
                <w:sz w:val="32"/>
                <w:szCs w:val="32"/>
              </w:rPr>
            </w:pPr>
          </w:p>
        </w:tc>
        <w:tc>
          <w:tcPr>
            <w:tcW w:w="4251" w:type="dxa"/>
            <w:shd w:val="clear" w:color="auto" w:fill="auto"/>
          </w:tcPr>
          <w:p>
            <w:pPr>
              <w:spacing w:line="600" w:lineRule="exact"/>
              <w:jc w:val="center"/>
              <w:rPr>
                <w:rFonts w:ascii="仿宋_GB2312" w:hAnsi="仿宋_GB2312" w:eastAsia="仿宋_GB2312" w:cs="仿宋_GB2312"/>
                <w:sz w:val="32"/>
                <w:szCs w:val="32"/>
              </w:rPr>
            </w:pPr>
          </w:p>
        </w:tc>
        <w:tc>
          <w:tcPr>
            <w:tcW w:w="1875" w:type="dxa"/>
            <w:shd w:val="clear" w:color="auto" w:fill="auto"/>
          </w:tcPr>
          <w:p>
            <w:pPr>
              <w:spacing w:line="600" w:lineRule="exact"/>
              <w:jc w:val="center"/>
              <w:rPr>
                <w:rFonts w:ascii="仿宋_GB2312" w:hAnsi="仿宋_GB2312" w:eastAsia="仿宋_GB2312" w:cs="仿宋_GB2312"/>
                <w:sz w:val="32"/>
                <w:szCs w:val="32"/>
              </w:rPr>
            </w:pPr>
          </w:p>
        </w:tc>
        <w:tc>
          <w:tcPr>
            <w:tcW w:w="2362" w:type="dxa"/>
            <w:shd w:val="clear" w:color="auto" w:fill="auto"/>
          </w:tcPr>
          <w:p>
            <w:pPr>
              <w:spacing w:line="600" w:lineRule="exact"/>
              <w:jc w:val="center"/>
              <w:rPr>
                <w:rFonts w:ascii="仿宋_GB2312" w:hAnsi="仿宋_GB2312" w:eastAsia="仿宋_GB2312" w:cs="仿宋_GB2312"/>
                <w:sz w:val="32"/>
                <w:szCs w:val="32"/>
              </w:rPr>
            </w:pPr>
          </w:p>
        </w:tc>
        <w:tc>
          <w:tcPr>
            <w:tcW w:w="2362" w:type="dxa"/>
            <w:shd w:val="clear" w:color="auto" w:fill="auto"/>
          </w:tcPr>
          <w:p>
            <w:pPr>
              <w:spacing w:line="600" w:lineRule="exact"/>
              <w:jc w:val="center"/>
              <w:rPr>
                <w:rFonts w:ascii="仿宋_GB2312" w:hAnsi="仿宋_GB2312" w:eastAsia="仿宋_GB2312" w:cs="仿宋_GB2312"/>
                <w:sz w:val="32"/>
                <w:szCs w:val="32"/>
              </w:rPr>
            </w:pPr>
          </w:p>
        </w:tc>
        <w:tc>
          <w:tcPr>
            <w:tcW w:w="2362" w:type="dxa"/>
            <w:shd w:val="clear" w:color="auto" w:fill="auto"/>
          </w:tcPr>
          <w:p>
            <w:pPr>
              <w:spacing w:line="6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spacing w:line="600" w:lineRule="exact"/>
              <w:jc w:val="center"/>
              <w:rPr>
                <w:rFonts w:ascii="仿宋_GB2312" w:hAnsi="仿宋_GB2312" w:eastAsia="仿宋_GB2312" w:cs="仿宋_GB2312"/>
                <w:sz w:val="32"/>
                <w:szCs w:val="32"/>
              </w:rPr>
            </w:pPr>
          </w:p>
        </w:tc>
        <w:tc>
          <w:tcPr>
            <w:tcW w:w="4251" w:type="dxa"/>
            <w:shd w:val="clear" w:color="auto" w:fill="auto"/>
          </w:tcPr>
          <w:p>
            <w:pPr>
              <w:spacing w:line="600" w:lineRule="exact"/>
              <w:jc w:val="center"/>
              <w:rPr>
                <w:rFonts w:ascii="仿宋_GB2312" w:hAnsi="仿宋_GB2312" w:eastAsia="仿宋_GB2312" w:cs="仿宋_GB2312"/>
                <w:sz w:val="32"/>
                <w:szCs w:val="32"/>
              </w:rPr>
            </w:pPr>
          </w:p>
        </w:tc>
        <w:tc>
          <w:tcPr>
            <w:tcW w:w="1875" w:type="dxa"/>
            <w:shd w:val="clear" w:color="auto" w:fill="auto"/>
          </w:tcPr>
          <w:p>
            <w:pPr>
              <w:spacing w:line="600" w:lineRule="exact"/>
              <w:jc w:val="center"/>
              <w:rPr>
                <w:rFonts w:ascii="仿宋_GB2312" w:hAnsi="仿宋_GB2312" w:eastAsia="仿宋_GB2312" w:cs="仿宋_GB2312"/>
                <w:sz w:val="32"/>
                <w:szCs w:val="32"/>
              </w:rPr>
            </w:pPr>
          </w:p>
        </w:tc>
        <w:tc>
          <w:tcPr>
            <w:tcW w:w="2362" w:type="dxa"/>
            <w:shd w:val="clear" w:color="auto" w:fill="auto"/>
          </w:tcPr>
          <w:p>
            <w:pPr>
              <w:spacing w:line="600" w:lineRule="exact"/>
              <w:jc w:val="center"/>
              <w:rPr>
                <w:rFonts w:ascii="仿宋_GB2312" w:hAnsi="仿宋_GB2312" w:eastAsia="仿宋_GB2312" w:cs="仿宋_GB2312"/>
                <w:sz w:val="32"/>
                <w:szCs w:val="32"/>
              </w:rPr>
            </w:pPr>
          </w:p>
        </w:tc>
        <w:tc>
          <w:tcPr>
            <w:tcW w:w="2362" w:type="dxa"/>
            <w:shd w:val="clear" w:color="auto" w:fill="auto"/>
          </w:tcPr>
          <w:p>
            <w:pPr>
              <w:spacing w:line="600" w:lineRule="exact"/>
              <w:jc w:val="center"/>
              <w:rPr>
                <w:rFonts w:ascii="仿宋_GB2312" w:hAnsi="仿宋_GB2312" w:eastAsia="仿宋_GB2312" w:cs="仿宋_GB2312"/>
                <w:sz w:val="32"/>
                <w:szCs w:val="32"/>
              </w:rPr>
            </w:pPr>
          </w:p>
        </w:tc>
        <w:tc>
          <w:tcPr>
            <w:tcW w:w="2362" w:type="dxa"/>
            <w:shd w:val="clear" w:color="auto" w:fill="auto"/>
          </w:tcPr>
          <w:p>
            <w:pPr>
              <w:spacing w:line="600" w:lineRule="exact"/>
              <w:jc w:val="center"/>
              <w:rPr>
                <w:rFonts w:ascii="仿宋_GB2312" w:hAnsi="仿宋_GB2312" w:eastAsia="仿宋_GB2312" w:cs="仿宋_GB2312"/>
                <w:sz w:val="32"/>
                <w:szCs w:val="32"/>
              </w:rPr>
            </w:pPr>
          </w:p>
        </w:tc>
      </w:tr>
    </w:tbl>
    <w:p>
      <w:pPr>
        <w:spacing w:line="60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局各派出机构参会人员名单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209"/>
        <w:gridCol w:w="3364"/>
        <w:gridCol w:w="2531"/>
        <w:gridCol w:w="3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4209" w:type="dxa"/>
            <w:shd w:val="clear" w:color="auto" w:fill="auto"/>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单位</w:t>
            </w:r>
          </w:p>
        </w:tc>
        <w:tc>
          <w:tcPr>
            <w:tcW w:w="3364" w:type="dxa"/>
            <w:shd w:val="clear" w:color="auto" w:fill="auto"/>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2531" w:type="dxa"/>
            <w:shd w:val="clear" w:color="auto" w:fill="auto"/>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职务</w:t>
            </w:r>
          </w:p>
        </w:tc>
        <w:tc>
          <w:tcPr>
            <w:tcW w:w="3157" w:type="dxa"/>
            <w:shd w:val="clear" w:color="auto" w:fill="auto"/>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spacing w:line="600" w:lineRule="exact"/>
              <w:jc w:val="center"/>
              <w:rPr>
                <w:rFonts w:ascii="仿宋_GB2312" w:hAnsi="仿宋_GB2312" w:eastAsia="仿宋_GB2312" w:cs="仿宋_GB2312"/>
                <w:sz w:val="32"/>
                <w:szCs w:val="32"/>
              </w:rPr>
            </w:pPr>
          </w:p>
        </w:tc>
        <w:tc>
          <w:tcPr>
            <w:tcW w:w="4209" w:type="dxa"/>
            <w:shd w:val="clear" w:color="auto" w:fill="auto"/>
          </w:tcPr>
          <w:p>
            <w:pPr>
              <w:spacing w:line="600" w:lineRule="exact"/>
              <w:jc w:val="center"/>
              <w:rPr>
                <w:rFonts w:ascii="仿宋_GB2312" w:hAnsi="仿宋_GB2312" w:eastAsia="仿宋_GB2312" w:cs="仿宋_GB2312"/>
                <w:sz w:val="32"/>
                <w:szCs w:val="32"/>
              </w:rPr>
            </w:pPr>
          </w:p>
        </w:tc>
        <w:tc>
          <w:tcPr>
            <w:tcW w:w="3364" w:type="dxa"/>
            <w:shd w:val="clear" w:color="auto" w:fill="auto"/>
          </w:tcPr>
          <w:p>
            <w:pPr>
              <w:spacing w:line="600" w:lineRule="exact"/>
              <w:jc w:val="center"/>
              <w:rPr>
                <w:rFonts w:ascii="仿宋_GB2312" w:hAnsi="仿宋_GB2312" w:eastAsia="仿宋_GB2312" w:cs="仿宋_GB2312"/>
                <w:sz w:val="32"/>
                <w:szCs w:val="32"/>
              </w:rPr>
            </w:pPr>
          </w:p>
        </w:tc>
        <w:tc>
          <w:tcPr>
            <w:tcW w:w="2531" w:type="dxa"/>
            <w:shd w:val="clear" w:color="auto" w:fill="auto"/>
          </w:tcPr>
          <w:p>
            <w:pPr>
              <w:spacing w:line="600" w:lineRule="exact"/>
              <w:jc w:val="center"/>
              <w:rPr>
                <w:rFonts w:ascii="仿宋_GB2312" w:hAnsi="仿宋_GB2312" w:eastAsia="仿宋_GB2312" w:cs="仿宋_GB2312"/>
                <w:sz w:val="32"/>
                <w:szCs w:val="32"/>
              </w:rPr>
            </w:pPr>
          </w:p>
        </w:tc>
        <w:tc>
          <w:tcPr>
            <w:tcW w:w="3157" w:type="dxa"/>
            <w:shd w:val="clear" w:color="auto" w:fill="auto"/>
          </w:tcPr>
          <w:p>
            <w:pPr>
              <w:spacing w:line="6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spacing w:line="600" w:lineRule="exact"/>
              <w:jc w:val="center"/>
              <w:rPr>
                <w:rFonts w:ascii="仿宋_GB2312" w:hAnsi="仿宋_GB2312" w:eastAsia="仿宋_GB2312" w:cs="仿宋_GB2312"/>
                <w:sz w:val="32"/>
                <w:szCs w:val="32"/>
              </w:rPr>
            </w:pPr>
          </w:p>
        </w:tc>
        <w:tc>
          <w:tcPr>
            <w:tcW w:w="4209" w:type="dxa"/>
            <w:shd w:val="clear" w:color="auto" w:fill="auto"/>
          </w:tcPr>
          <w:p>
            <w:pPr>
              <w:spacing w:line="600" w:lineRule="exact"/>
              <w:jc w:val="center"/>
              <w:rPr>
                <w:rFonts w:ascii="仿宋_GB2312" w:hAnsi="仿宋_GB2312" w:eastAsia="仿宋_GB2312" w:cs="仿宋_GB2312"/>
                <w:sz w:val="32"/>
                <w:szCs w:val="32"/>
              </w:rPr>
            </w:pPr>
          </w:p>
        </w:tc>
        <w:tc>
          <w:tcPr>
            <w:tcW w:w="3364" w:type="dxa"/>
            <w:shd w:val="clear" w:color="auto" w:fill="auto"/>
          </w:tcPr>
          <w:p>
            <w:pPr>
              <w:spacing w:line="600" w:lineRule="exact"/>
              <w:jc w:val="center"/>
              <w:rPr>
                <w:rFonts w:ascii="仿宋_GB2312" w:hAnsi="仿宋_GB2312" w:eastAsia="仿宋_GB2312" w:cs="仿宋_GB2312"/>
                <w:sz w:val="32"/>
                <w:szCs w:val="32"/>
              </w:rPr>
            </w:pPr>
          </w:p>
        </w:tc>
        <w:tc>
          <w:tcPr>
            <w:tcW w:w="2531" w:type="dxa"/>
            <w:shd w:val="clear" w:color="auto" w:fill="auto"/>
          </w:tcPr>
          <w:p>
            <w:pPr>
              <w:spacing w:line="600" w:lineRule="exact"/>
              <w:jc w:val="center"/>
              <w:rPr>
                <w:rFonts w:ascii="仿宋_GB2312" w:hAnsi="仿宋_GB2312" w:eastAsia="仿宋_GB2312" w:cs="仿宋_GB2312"/>
                <w:sz w:val="32"/>
                <w:szCs w:val="32"/>
              </w:rPr>
            </w:pPr>
          </w:p>
        </w:tc>
        <w:tc>
          <w:tcPr>
            <w:tcW w:w="3157" w:type="dxa"/>
            <w:shd w:val="clear" w:color="auto" w:fill="auto"/>
          </w:tcPr>
          <w:p>
            <w:pPr>
              <w:spacing w:line="600" w:lineRule="exact"/>
              <w:jc w:val="center"/>
              <w:rPr>
                <w:rFonts w:ascii="仿宋_GB2312" w:hAnsi="仿宋_GB2312" w:eastAsia="仿宋_GB2312" w:cs="仿宋_GB2312"/>
                <w:sz w:val="32"/>
                <w:szCs w:val="32"/>
              </w:rPr>
            </w:pPr>
          </w:p>
        </w:tc>
      </w:tr>
    </w:tbl>
    <w:p>
      <w:pPr>
        <w:adjustRightInd w:val="0"/>
        <w:snapToGrid w:val="0"/>
        <w:rPr>
          <w:rFonts w:ascii="方正小标宋简体" w:hAnsi="方正小标宋简体" w:eastAsia="方正小标宋简体" w:cs="方正小标宋简体"/>
          <w:sz w:val="10"/>
          <w:szCs w:val="10"/>
        </w:rPr>
      </w:pPr>
    </w:p>
    <w:sectPr>
      <w:pgSz w:w="16838" w:h="11906" w:orient="landscape"/>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26321"/>
      <w:docPartObj>
        <w:docPartGallery w:val="AutoText"/>
      </w:docPartObj>
    </w:sdtPr>
    <w:sdtEndPr>
      <w:rPr>
        <w:sz w:val="24"/>
        <w:szCs w:val="24"/>
      </w:rPr>
    </w:sdtEndPr>
    <w:sdtContent>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38A"/>
    <w:rsid w:val="000634EE"/>
    <w:rsid w:val="0007021D"/>
    <w:rsid w:val="000A414E"/>
    <w:rsid w:val="001648E5"/>
    <w:rsid w:val="00172A27"/>
    <w:rsid w:val="001829D4"/>
    <w:rsid w:val="0019714C"/>
    <w:rsid w:val="0028114A"/>
    <w:rsid w:val="00301CB7"/>
    <w:rsid w:val="00310851"/>
    <w:rsid w:val="003216D0"/>
    <w:rsid w:val="003633DE"/>
    <w:rsid w:val="00367EF4"/>
    <w:rsid w:val="00383611"/>
    <w:rsid w:val="003C1BCA"/>
    <w:rsid w:val="003F508B"/>
    <w:rsid w:val="00414A2C"/>
    <w:rsid w:val="004316BE"/>
    <w:rsid w:val="004820AA"/>
    <w:rsid w:val="0048714E"/>
    <w:rsid w:val="004D1707"/>
    <w:rsid w:val="004F2FC8"/>
    <w:rsid w:val="004F4155"/>
    <w:rsid w:val="005051DB"/>
    <w:rsid w:val="00570B07"/>
    <w:rsid w:val="0058135A"/>
    <w:rsid w:val="005D17DD"/>
    <w:rsid w:val="005D1C3E"/>
    <w:rsid w:val="005F5E95"/>
    <w:rsid w:val="00644519"/>
    <w:rsid w:val="006468BF"/>
    <w:rsid w:val="00681FD8"/>
    <w:rsid w:val="006B67BD"/>
    <w:rsid w:val="007070D9"/>
    <w:rsid w:val="007454BC"/>
    <w:rsid w:val="007679CB"/>
    <w:rsid w:val="007E518E"/>
    <w:rsid w:val="007F11D0"/>
    <w:rsid w:val="00824814"/>
    <w:rsid w:val="008358E3"/>
    <w:rsid w:val="00857542"/>
    <w:rsid w:val="00871CFA"/>
    <w:rsid w:val="00877DA7"/>
    <w:rsid w:val="008C622E"/>
    <w:rsid w:val="008D76FC"/>
    <w:rsid w:val="009025D8"/>
    <w:rsid w:val="009234D0"/>
    <w:rsid w:val="00A00122"/>
    <w:rsid w:val="00A24CCE"/>
    <w:rsid w:val="00A826AB"/>
    <w:rsid w:val="00AB1E01"/>
    <w:rsid w:val="00AC7BEA"/>
    <w:rsid w:val="00B00162"/>
    <w:rsid w:val="00B02B90"/>
    <w:rsid w:val="00B92EAB"/>
    <w:rsid w:val="00B96A58"/>
    <w:rsid w:val="00C4210E"/>
    <w:rsid w:val="00C72E9D"/>
    <w:rsid w:val="00CD742F"/>
    <w:rsid w:val="00CF7E67"/>
    <w:rsid w:val="00D42A8E"/>
    <w:rsid w:val="00D45128"/>
    <w:rsid w:val="00D73140"/>
    <w:rsid w:val="00D7788C"/>
    <w:rsid w:val="00D96F41"/>
    <w:rsid w:val="00DB098C"/>
    <w:rsid w:val="00DF69C8"/>
    <w:rsid w:val="00E16491"/>
    <w:rsid w:val="00E27003"/>
    <w:rsid w:val="00EC22AD"/>
    <w:rsid w:val="00EC6380"/>
    <w:rsid w:val="00ED2185"/>
    <w:rsid w:val="00F51E85"/>
    <w:rsid w:val="00F92B74"/>
    <w:rsid w:val="00F92CD7"/>
    <w:rsid w:val="00FA01C9"/>
    <w:rsid w:val="00FA2D64"/>
    <w:rsid w:val="00FA4212"/>
    <w:rsid w:val="00FC7B4C"/>
    <w:rsid w:val="00FE090A"/>
    <w:rsid w:val="013E2399"/>
    <w:rsid w:val="0B565754"/>
    <w:rsid w:val="0BB177FE"/>
    <w:rsid w:val="1963485E"/>
    <w:rsid w:val="1DF608EF"/>
    <w:rsid w:val="21C63D5F"/>
    <w:rsid w:val="325A2EAD"/>
    <w:rsid w:val="3B235613"/>
    <w:rsid w:val="3F56073F"/>
    <w:rsid w:val="4D1A7EAF"/>
    <w:rsid w:val="4DC77F17"/>
    <w:rsid w:val="50365B27"/>
    <w:rsid w:val="52902483"/>
    <w:rsid w:val="5F690D98"/>
    <w:rsid w:val="668B6D47"/>
    <w:rsid w:val="7D8B6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cs="Times New Roman"/>
      <w:kern w:val="0"/>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link w:val="3"/>
    <w:semiHidden/>
    <w:uiPriority w:val="99"/>
    <w:rPr>
      <w:sz w:val="18"/>
      <w:szCs w:val="18"/>
    </w:rPr>
  </w:style>
  <w:style w:type="character" w:customStyle="1" w:styleId="8">
    <w:name w:val="页脚 Char"/>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160</Words>
  <Characters>916</Characters>
  <Lines>7</Lines>
  <Paragraphs>2</Paragraphs>
  <TotalTime>13</TotalTime>
  <ScaleCrop>false</ScaleCrop>
  <LinksUpToDate>false</LinksUpToDate>
  <CharactersWithSpaces>1074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2020-08-06T07:07:00Z</dcterms:created>
  <dc:creator>ssw14200</dc:creator>
  <cp:lastModifiedBy>煊煊</cp:lastModifiedBy>
  <cp:lastPrinted>2020-08-04T07:48:00Z</cp:lastPrinted>
  <dcterms:modified xsi:type="dcterms:W3CDTF">2020-08-07T03:59:41Z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